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F418" w14:textId="77777777" w:rsidR="00D53CA3" w:rsidRDefault="00D53CA3"/>
    <w:tbl>
      <w:tblPr>
        <w:tblStyle w:val="Tabellenraster"/>
        <w:tblW w:w="9639" w:type="dxa"/>
        <w:tblInd w:w="-53" w:type="dxa"/>
        <w:tblBorders>
          <w:top w:val="doubleWave" w:sz="6" w:space="0" w:color="00CC00"/>
          <w:left w:val="doubleWave" w:sz="6" w:space="0" w:color="00CC00"/>
          <w:bottom w:val="doubleWave" w:sz="6" w:space="0" w:color="00CC00"/>
          <w:right w:val="doubleWave" w:sz="6" w:space="0" w:color="00CC00"/>
          <w:insideH w:val="doubleWave" w:sz="6" w:space="0" w:color="00CC00"/>
          <w:insideV w:val="doubleWave" w:sz="6" w:space="0" w:color="00CC00"/>
        </w:tblBorders>
        <w:tblLook w:val="04A0" w:firstRow="1" w:lastRow="0" w:firstColumn="1" w:lastColumn="0" w:noHBand="0" w:noVBand="1"/>
      </w:tblPr>
      <w:tblGrid>
        <w:gridCol w:w="9639"/>
      </w:tblGrid>
      <w:tr w:rsidR="00D53CA3" w:rsidRPr="00D53CA3" w14:paraId="0ECD4054" w14:textId="77777777" w:rsidTr="00411782">
        <w:tc>
          <w:tcPr>
            <w:tcW w:w="9639" w:type="dxa"/>
          </w:tcPr>
          <w:p w14:paraId="454B5674" w14:textId="77777777" w:rsidR="00D53CA3" w:rsidRPr="00D53CA3" w:rsidRDefault="00D53CA3">
            <w:pPr>
              <w:rPr>
                <w:color w:val="00CC00"/>
              </w:rPr>
            </w:pPr>
          </w:p>
          <w:p w14:paraId="205B3D77" w14:textId="03021A48" w:rsidR="00D53CA3" w:rsidRPr="00D53CA3" w:rsidRDefault="00D07F17" w:rsidP="00D53CA3">
            <w:pPr>
              <w:ind w:left="170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>Den Grundton eines Liedes, einer Melodie oder eines Musikstücks finden</w:t>
            </w:r>
          </w:p>
          <w:p w14:paraId="4596AD5B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46DA9152" w14:textId="5A378708" w:rsidR="00F47452" w:rsidRDefault="00F47452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bei uns einigermassen bekannten musikalischen</w:t>
            </w:r>
            <w:r w:rsidR="00D53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Werke stehen alle in einer bestimmten «</w:t>
            </w:r>
            <w:r w:rsidRPr="00AF0FC0">
              <w:rPr>
                <w:color w:val="FF6600"/>
                <w:sz w:val="24"/>
                <w:szCs w:val="24"/>
              </w:rPr>
              <w:t>Tonalität</w:t>
            </w:r>
            <w:r>
              <w:rPr>
                <w:sz w:val="24"/>
                <w:szCs w:val="24"/>
              </w:rPr>
              <w:t xml:space="preserve">», bei Dur und Moll auch etwa «Tongeschlecht» genannt. Die Tonalität umfasst </w:t>
            </w:r>
            <w:r w:rsidR="0041178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das Tonmaterial, aus dem die Musik besteht, und lässt sich in der Regel auf eine </w:t>
            </w:r>
            <w:r w:rsidRPr="00AF0FC0">
              <w:rPr>
                <w:color w:val="FF6600"/>
                <w:sz w:val="24"/>
                <w:szCs w:val="24"/>
              </w:rPr>
              <w:t xml:space="preserve">Tonleiter </w:t>
            </w:r>
            <w:r>
              <w:rPr>
                <w:sz w:val="24"/>
                <w:szCs w:val="24"/>
              </w:rPr>
              <w:t xml:space="preserve">zusammenziehen, welche auf einem </w:t>
            </w:r>
            <w:r w:rsidRPr="00AF0FC0">
              <w:rPr>
                <w:color w:val="FF6600"/>
                <w:sz w:val="24"/>
                <w:szCs w:val="24"/>
              </w:rPr>
              <w:t xml:space="preserve">GRUNDTON </w:t>
            </w:r>
            <w:r>
              <w:rPr>
                <w:sz w:val="24"/>
                <w:szCs w:val="24"/>
              </w:rPr>
              <w:t>ruht.</w:t>
            </w:r>
          </w:p>
          <w:p w14:paraId="5274570E" w14:textId="543C95CB" w:rsidR="00F47452" w:rsidRDefault="00F47452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</w:p>
          <w:p w14:paraId="334B6131" w14:textId="45FC3484" w:rsidR="00F47452" w:rsidRDefault="00F47452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Grundton bildet das Fundament und den Ruhe- und oftmals Endpunkt </w:t>
            </w:r>
            <w:r w:rsidR="00AF0FC0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 xml:space="preserve">unserer westlichen Musik ist, </w:t>
            </w:r>
            <w:r w:rsidR="00AF0FC0">
              <w:rPr>
                <w:sz w:val="24"/>
                <w:szCs w:val="24"/>
              </w:rPr>
              <w:t xml:space="preserve">und es </w:t>
            </w:r>
            <w:r>
              <w:rPr>
                <w:sz w:val="24"/>
                <w:szCs w:val="24"/>
              </w:rPr>
              <w:t xml:space="preserve">hilft </w:t>
            </w:r>
            <w:r w:rsidR="00AF0FC0">
              <w:rPr>
                <w:sz w:val="24"/>
                <w:szCs w:val="24"/>
              </w:rPr>
              <w:t xml:space="preserve">uns </w:t>
            </w:r>
            <w:r>
              <w:rPr>
                <w:sz w:val="24"/>
                <w:szCs w:val="24"/>
              </w:rPr>
              <w:t xml:space="preserve">für das </w:t>
            </w:r>
            <w:r w:rsidRPr="00AF0FC0">
              <w:rPr>
                <w:color w:val="FF6600"/>
                <w:sz w:val="24"/>
                <w:szCs w:val="24"/>
              </w:rPr>
              <w:t xml:space="preserve">melodische und harmonische Verstehen </w:t>
            </w:r>
            <w:r>
              <w:rPr>
                <w:sz w:val="24"/>
                <w:szCs w:val="24"/>
              </w:rPr>
              <w:t xml:space="preserve">der Musik sehr, wenn </w:t>
            </w:r>
            <w:r w:rsidR="00AF0FC0">
              <w:rPr>
                <w:sz w:val="24"/>
                <w:szCs w:val="24"/>
              </w:rPr>
              <w:t>wir</w:t>
            </w:r>
            <w:r>
              <w:rPr>
                <w:sz w:val="24"/>
                <w:szCs w:val="24"/>
              </w:rPr>
              <w:t xml:space="preserve"> die Tonalität und damit verbunden den Grundton und die </w:t>
            </w:r>
            <w:r w:rsidRPr="00AF0FC0">
              <w:rPr>
                <w:color w:val="FF6600"/>
                <w:sz w:val="24"/>
                <w:szCs w:val="24"/>
              </w:rPr>
              <w:t xml:space="preserve">inneren </w:t>
            </w:r>
            <w:r w:rsidR="00AF0FC0">
              <w:rPr>
                <w:color w:val="FF6600"/>
                <w:sz w:val="24"/>
                <w:szCs w:val="24"/>
              </w:rPr>
              <w:t xml:space="preserve">  </w:t>
            </w:r>
            <w:r w:rsidRPr="00AF0FC0">
              <w:rPr>
                <w:color w:val="FF6600"/>
                <w:sz w:val="24"/>
                <w:szCs w:val="24"/>
              </w:rPr>
              <w:t>Kräfte der Tonleiter</w:t>
            </w:r>
            <w:r>
              <w:rPr>
                <w:sz w:val="24"/>
                <w:szCs w:val="24"/>
              </w:rPr>
              <w:t xml:space="preserve"> kenne</w:t>
            </w:r>
            <w:r w:rsidR="00AF0FC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  <w:p w14:paraId="5361AAD2" w14:textId="64E30BCF" w:rsidR="00AF0FC0" w:rsidRDefault="00AF0FC0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</w:p>
          <w:p w14:paraId="7548F603" w14:textId="15214B9A" w:rsidR="00AF0FC0" w:rsidRPr="00AF0FC0" w:rsidRDefault="00AF0FC0" w:rsidP="00AF0FC0">
            <w:pPr>
              <w:spacing w:line="264" w:lineRule="auto"/>
              <w:ind w:left="170"/>
              <w:rPr>
                <w:rFonts w:cstheme="minorHAnsi"/>
                <w:color w:val="009600"/>
                <w:sz w:val="24"/>
                <w:szCs w:val="24"/>
              </w:rPr>
            </w:pPr>
            <w:r w:rsidRPr="00AF0FC0">
              <w:rPr>
                <w:color w:val="009600"/>
                <w:sz w:val="24"/>
                <w:szCs w:val="24"/>
              </w:rPr>
              <w:t xml:space="preserve">Den Grundton haben wir oftmals fast im </w:t>
            </w:r>
            <w:r w:rsidRPr="00AF0FC0">
              <w:rPr>
                <w:rFonts w:ascii="Calibri" w:hAnsi="Calibri" w:cs="Calibri"/>
                <w:color w:val="009600"/>
                <w:sz w:val="24"/>
                <w:szCs w:val="24"/>
              </w:rPr>
              <w:t>«</w:t>
            </w:r>
            <w:r w:rsidRPr="00AF0FC0">
              <w:rPr>
                <w:color w:val="009600"/>
                <w:sz w:val="24"/>
                <w:szCs w:val="24"/>
              </w:rPr>
              <w:t>Gespür</w:t>
            </w:r>
            <w:r w:rsidRPr="00AF0FC0">
              <w:rPr>
                <w:rFonts w:cstheme="minorHAnsi"/>
                <w:color w:val="009600"/>
                <w:sz w:val="24"/>
                <w:szCs w:val="24"/>
              </w:rPr>
              <w:t xml:space="preserve">», finden ihn also quasi intuitiv. Wenn das nicht auf Anhieb </w:t>
            </w:r>
            <w:proofErr w:type="gramStart"/>
            <w:r w:rsidRPr="00AF0FC0">
              <w:rPr>
                <w:rFonts w:cstheme="minorHAnsi"/>
                <w:color w:val="009600"/>
                <w:sz w:val="24"/>
                <w:szCs w:val="24"/>
              </w:rPr>
              <w:t>klappt</w:t>
            </w:r>
            <w:proofErr w:type="gramEnd"/>
            <w:r w:rsidRPr="00AF0FC0">
              <w:rPr>
                <w:rFonts w:cstheme="minorHAnsi"/>
                <w:color w:val="009600"/>
                <w:sz w:val="24"/>
                <w:szCs w:val="24"/>
              </w:rPr>
              <w:t xml:space="preserve">, singe ich von irgendeinem Ton aus </w:t>
            </w:r>
            <w:r w:rsidRPr="00AF0FC0">
              <w:rPr>
                <w:rFonts w:cstheme="minorHAnsi"/>
                <w:color w:val="FF6600"/>
                <w:sz w:val="24"/>
                <w:szCs w:val="24"/>
              </w:rPr>
              <w:t>gegen oben oder noch besser gegen unten die Tonleiter weiter</w:t>
            </w:r>
            <w:r w:rsidRPr="00AF0FC0">
              <w:rPr>
                <w:rFonts w:cstheme="minorHAnsi"/>
                <w:color w:val="009600"/>
                <w:sz w:val="24"/>
                <w:szCs w:val="24"/>
              </w:rPr>
              <w:t>, bis ich gefühlsmässig beim Ruhepunkt oder eben Grundton ankomme.</w:t>
            </w:r>
            <w:r>
              <w:rPr>
                <w:rFonts w:cstheme="minorHAnsi"/>
                <w:color w:val="009600"/>
                <w:sz w:val="24"/>
                <w:szCs w:val="24"/>
              </w:rPr>
              <w:t xml:space="preserve"> </w:t>
            </w:r>
            <w:r w:rsidRPr="00AF0FC0">
              <w:rPr>
                <w:rFonts w:ascii="Calibri" w:hAnsi="Calibri" w:cs="Calibri"/>
                <w:color w:val="009600"/>
                <w:sz w:val="24"/>
                <w:szCs w:val="24"/>
              </w:rPr>
              <w:t xml:space="preserve">Wenn ich dann auf diesem Grundton noch einen </w:t>
            </w:r>
            <w:r w:rsidRPr="00AF0FC0">
              <w:rPr>
                <w:rFonts w:ascii="Calibri" w:hAnsi="Calibri" w:cs="Calibri"/>
                <w:color w:val="FF6600"/>
                <w:sz w:val="24"/>
                <w:szCs w:val="24"/>
              </w:rPr>
              <w:t xml:space="preserve">Dreiklang </w:t>
            </w:r>
            <w:r w:rsidRPr="00AF0FC0">
              <w:rPr>
                <w:rFonts w:ascii="Calibri" w:hAnsi="Calibri" w:cs="Calibri"/>
                <w:color w:val="009600"/>
                <w:sz w:val="24"/>
                <w:szCs w:val="24"/>
              </w:rPr>
              <w:t xml:space="preserve">singen kann, bin ich </w:t>
            </w:r>
            <w:r w:rsidR="00411782">
              <w:rPr>
                <w:rFonts w:ascii="Calibri" w:hAnsi="Calibri" w:cs="Calibri"/>
                <w:color w:val="009600"/>
                <w:sz w:val="24"/>
                <w:szCs w:val="24"/>
              </w:rPr>
              <w:t xml:space="preserve">  </w:t>
            </w:r>
            <w:r w:rsidRPr="00AF0FC0">
              <w:rPr>
                <w:rFonts w:ascii="Calibri" w:hAnsi="Calibri" w:cs="Calibri"/>
                <w:color w:val="009600"/>
                <w:sz w:val="24"/>
                <w:szCs w:val="24"/>
              </w:rPr>
              <w:t xml:space="preserve">fast ganz sicher richtig gelandet. </w:t>
            </w:r>
          </w:p>
          <w:p w14:paraId="6C761E52" w14:textId="77777777" w:rsidR="00F47452" w:rsidRDefault="00F47452" w:rsidP="00AF0FC0">
            <w:pPr>
              <w:spacing w:line="264" w:lineRule="auto"/>
              <w:rPr>
                <w:sz w:val="24"/>
                <w:szCs w:val="24"/>
              </w:rPr>
            </w:pPr>
          </w:p>
          <w:p w14:paraId="5BEA061E" w14:textId="674E8D39" w:rsidR="00AF0FC0" w:rsidRDefault="00AF0FC0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 w:rsidRPr="00AF0FC0">
              <w:rPr>
                <w:color w:val="FF6600"/>
                <w:sz w:val="24"/>
                <w:szCs w:val="24"/>
              </w:rPr>
              <w:t xml:space="preserve">Kinderlieder </w:t>
            </w:r>
            <w:r>
              <w:rPr>
                <w:sz w:val="24"/>
                <w:szCs w:val="24"/>
              </w:rPr>
              <w:t xml:space="preserve">eignen sich besonders gut zum Trainieren des Grundtongefühls. Ich kann ein </w:t>
            </w:r>
            <w:r w:rsidR="0041178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Lied singen und irgendwo aufhören und den Grundton suchen oder ein Lied im Internet auswählen, da unterwegs stoppen und hinunter oder hinauf singen bis zum «Ruhe-» oder «Bodengefühl».</w:t>
            </w:r>
          </w:p>
          <w:p w14:paraId="5E2CBC84" w14:textId="77777777" w:rsidR="00AF0FC0" w:rsidRDefault="00AF0FC0" w:rsidP="00AF0FC0">
            <w:pPr>
              <w:spacing w:line="264" w:lineRule="auto"/>
              <w:rPr>
                <w:sz w:val="24"/>
                <w:szCs w:val="24"/>
              </w:rPr>
            </w:pPr>
          </w:p>
          <w:p w14:paraId="676C8190" w14:textId="757C73FA" w:rsidR="00BA6EF7" w:rsidRDefault="00BA6EF7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Übungen hier im Ordner sind gleichzeitig Demo- als auch Übungsmaterial. </w:t>
            </w:r>
          </w:p>
          <w:p w14:paraId="427A285E" w14:textId="0E4EE61F" w:rsidR="001D3748" w:rsidRDefault="001D3748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Wenn die Melodie aufhört, kann ich kurz die </w:t>
            </w:r>
            <w:proofErr w:type="spellStart"/>
            <w:r>
              <w:rPr>
                <w:sz w:val="24"/>
                <w:szCs w:val="24"/>
              </w:rPr>
              <w:t>Pausetaste</w:t>
            </w:r>
            <w:proofErr w:type="spellEnd"/>
            <w:r>
              <w:rPr>
                <w:sz w:val="24"/>
                <w:szCs w:val="24"/>
              </w:rPr>
              <w:t xml:space="preserve"> drücken und </w:t>
            </w:r>
            <w:proofErr w:type="gramStart"/>
            <w:r>
              <w:rPr>
                <w:sz w:val="24"/>
                <w:szCs w:val="24"/>
              </w:rPr>
              <w:t>selber</w:t>
            </w:r>
            <w:proofErr w:type="gramEnd"/>
            <w:r>
              <w:rPr>
                <w:sz w:val="24"/>
                <w:szCs w:val="24"/>
              </w:rPr>
              <w:t xml:space="preserve"> den Grundton suchen – beim Weiterabspielen folgt dann die Lösung.</w:t>
            </w:r>
          </w:p>
          <w:p w14:paraId="1D3FC563" w14:textId="32842A40" w:rsidR="00AF0FC0" w:rsidRDefault="00AF0FC0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</w:p>
          <w:p w14:paraId="1355B770" w14:textId="5CD675A8" w:rsidR="00AF0FC0" w:rsidRDefault="00AF0FC0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Andy Mullen gibt es die «</w:t>
            </w:r>
            <w:proofErr w:type="spellStart"/>
            <w:r>
              <w:rPr>
                <w:sz w:val="24"/>
                <w:szCs w:val="24"/>
              </w:rPr>
              <w:t>Unfinished</w:t>
            </w:r>
            <w:proofErr w:type="spellEnd"/>
            <w:r>
              <w:rPr>
                <w:sz w:val="24"/>
                <w:szCs w:val="24"/>
              </w:rPr>
              <w:t xml:space="preserve"> Songs», welche </w:t>
            </w:r>
            <w:r w:rsidR="001D3748">
              <w:rPr>
                <w:sz w:val="24"/>
                <w:szCs w:val="24"/>
              </w:rPr>
              <w:t>eben</w:t>
            </w:r>
            <w:r>
              <w:rPr>
                <w:sz w:val="24"/>
                <w:szCs w:val="24"/>
              </w:rPr>
              <w:t>dies trainieren helfen.</w:t>
            </w:r>
          </w:p>
          <w:p w14:paraId="4B689B17" w14:textId="0FC94200" w:rsidR="00411782" w:rsidRPr="00411782" w:rsidRDefault="00CF2F3F" w:rsidP="00411782">
            <w:pPr>
              <w:pStyle w:val="Listenabsatz"/>
              <w:numPr>
                <w:ilvl w:val="0"/>
                <w:numId w:val="1"/>
              </w:numPr>
              <w:rPr>
                <w:color w:val="00CC00"/>
              </w:rPr>
            </w:pPr>
            <w:hyperlink r:id="rId7" w:history="1">
              <w:r w:rsidR="00411782" w:rsidRPr="004C4B0A">
                <w:rPr>
                  <w:rStyle w:val="Hyperlink"/>
                </w:rPr>
                <w:t>https://www.youtube.com/watch?v=8bLzow6ePRI</w:t>
              </w:r>
            </w:hyperlink>
          </w:p>
          <w:p w14:paraId="30A17E7F" w14:textId="3CE32304" w:rsidR="00411782" w:rsidRPr="00411782" w:rsidRDefault="00CF2F3F" w:rsidP="00411782">
            <w:pPr>
              <w:pStyle w:val="Listenabsatz"/>
              <w:numPr>
                <w:ilvl w:val="0"/>
                <w:numId w:val="1"/>
              </w:numPr>
              <w:rPr>
                <w:color w:val="00CC00"/>
              </w:rPr>
            </w:pPr>
            <w:hyperlink r:id="rId8" w:history="1">
              <w:r w:rsidR="00411782" w:rsidRPr="004C4B0A">
                <w:rPr>
                  <w:rStyle w:val="Hyperlink"/>
                </w:rPr>
                <w:t>https://www.youtube.com/watch?v=r3qcAt3fs9I</w:t>
              </w:r>
            </w:hyperlink>
          </w:p>
          <w:p w14:paraId="778A9854" w14:textId="70C31C94" w:rsidR="00411782" w:rsidRDefault="00411782" w:rsidP="00D53CA3">
            <w:pPr>
              <w:ind w:left="170"/>
              <w:rPr>
                <w:color w:val="00CC00"/>
              </w:rPr>
            </w:pPr>
          </w:p>
          <w:p w14:paraId="082C4897" w14:textId="77777777" w:rsidR="00411782" w:rsidRDefault="00411782" w:rsidP="00D53CA3">
            <w:pPr>
              <w:ind w:left="170"/>
              <w:rPr>
                <w:color w:val="00CC00"/>
              </w:rPr>
            </w:pPr>
          </w:p>
          <w:p w14:paraId="153EE539" w14:textId="2EEDFA65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150FC61B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73778F63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40A8643E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6ABF7987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56738B21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7A66DE4D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46913B2E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00887A6C" w14:textId="62E21BBA" w:rsidR="00D53CA3" w:rsidRPr="00D53CA3" w:rsidRDefault="00D53CA3">
            <w:pPr>
              <w:rPr>
                <w:color w:val="00CC00"/>
              </w:rPr>
            </w:pPr>
            <w:bookmarkStart w:id="0" w:name="_GoBack"/>
            <w:bookmarkEnd w:id="0"/>
          </w:p>
        </w:tc>
      </w:tr>
    </w:tbl>
    <w:p w14:paraId="4ED2097C" w14:textId="77777777" w:rsidR="00DB3466" w:rsidRDefault="00DB3466"/>
    <w:sectPr w:rsidR="00DB346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2FBE5" w14:textId="77777777" w:rsidR="00CF2F3F" w:rsidRDefault="00CF2F3F" w:rsidP="00D53CA3">
      <w:pPr>
        <w:spacing w:after="0" w:line="240" w:lineRule="auto"/>
      </w:pPr>
      <w:r>
        <w:separator/>
      </w:r>
    </w:p>
  </w:endnote>
  <w:endnote w:type="continuationSeparator" w:id="0">
    <w:p w14:paraId="7E2AFADC" w14:textId="77777777" w:rsidR="00CF2F3F" w:rsidRDefault="00CF2F3F" w:rsidP="00D5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3BE05" w14:textId="77777777" w:rsidR="00CF2F3F" w:rsidRDefault="00CF2F3F" w:rsidP="00D53CA3">
      <w:pPr>
        <w:spacing w:after="0" w:line="240" w:lineRule="auto"/>
      </w:pPr>
      <w:r>
        <w:separator/>
      </w:r>
    </w:p>
  </w:footnote>
  <w:footnote w:type="continuationSeparator" w:id="0">
    <w:p w14:paraId="4E3C6AA0" w14:textId="77777777" w:rsidR="00CF2F3F" w:rsidRDefault="00CF2F3F" w:rsidP="00D5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48D7A" w14:textId="77777777" w:rsidR="00D53CA3" w:rsidRDefault="00D53CA3" w:rsidP="00D53CA3">
    <w:pPr>
      <w:pStyle w:val="Vordruck8No"/>
      <w:rPr>
        <w:lang w:val="de-DE"/>
      </w:rPr>
    </w:pPr>
    <w:r>
      <w:rPr>
        <w:noProof/>
        <w:sz w:val="20"/>
        <w:lang w:val="de-DE"/>
      </w:rPr>
      <w:drawing>
        <wp:anchor distT="0" distB="0" distL="114300" distR="114300" simplePos="0" relativeHeight="251659264" behindDoc="1" locked="0" layoutInCell="1" allowOverlap="1" wp14:anchorId="5A295A2F" wp14:editId="7F75A67F">
          <wp:simplePos x="0" y="0"/>
          <wp:positionH relativeFrom="column">
            <wp:posOffset>4028440</wp:posOffset>
          </wp:positionH>
          <wp:positionV relativeFrom="paragraph">
            <wp:posOffset>25603</wp:posOffset>
          </wp:positionV>
          <wp:extent cx="1951990" cy="396240"/>
          <wp:effectExtent l="0" t="0" r="0" b="3810"/>
          <wp:wrapThrough wrapText="bothSides">
            <wp:wrapPolygon edited="0">
              <wp:start x="9275" y="0"/>
              <wp:lineTo x="0" y="14538"/>
              <wp:lineTo x="0" y="19731"/>
              <wp:lineTo x="2108" y="20769"/>
              <wp:lineTo x="4848" y="20769"/>
              <wp:lineTo x="14545" y="19731"/>
              <wp:lineTo x="14124" y="16615"/>
              <wp:lineTo x="21291" y="12462"/>
              <wp:lineTo x="21291" y="2077"/>
              <wp:lineTo x="16442" y="0"/>
              <wp:lineTo x="9275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b/>
        <w:lang w:val="de-DE"/>
      </w:rPr>
      <w:t>PHBern</w:t>
    </w:r>
    <w:proofErr w:type="spellEnd"/>
    <w:r>
      <w:rPr>
        <w:b/>
        <w:lang w:val="de-DE"/>
      </w:rPr>
      <w:t xml:space="preserve"> Institut Sekundarstufe I</w:t>
    </w:r>
    <w:r>
      <w:rPr>
        <w:b/>
        <w:lang w:val="de-DE"/>
      </w:rPr>
      <w:tab/>
    </w:r>
    <w:r>
      <w:rPr>
        <w:b/>
        <w:lang w:val="de-DE"/>
      </w:rPr>
      <w:tab/>
    </w:r>
  </w:p>
  <w:p w14:paraId="2A247A8E" w14:textId="77777777" w:rsidR="00D53CA3" w:rsidRDefault="00D53CA3" w:rsidP="00D53CA3">
    <w:pPr>
      <w:pStyle w:val="Vordruck8No"/>
    </w:pPr>
    <w:r>
      <w:t>Fachausbildung Musik</w:t>
    </w:r>
    <w:r>
      <w:tab/>
    </w:r>
    <w:r>
      <w:tab/>
    </w:r>
    <w:r>
      <w:rPr>
        <w:bCs/>
        <w:lang w:val="de-DE"/>
      </w:rPr>
      <w:t>Patrick Ryf</w:t>
    </w:r>
  </w:p>
  <w:p w14:paraId="547E6F87" w14:textId="77777777" w:rsidR="00D53CA3" w:rsidRDefault="00D53CA3" w:rsidP="00D53CA3">
    <w:pPr>
      <w:pStyle w:val="Vordruck8No"/>
      <w:rPr>
        <w:lang w:val="it-IT"/>
      </w:rPr>
    </w:pPr>
    <w:proofErr w:type="spellStart"/>
    <w:r>
      <w:rPr>
        <w:lang w:val="it-IT"/>
      </w:rPr>
      <w:t>Fabrikstrasse</w:t>
    </w:r>
    <w:proofErr w:type="spellEnd"/>
    <w:r>
      <w:rPr>
        <w:lang w:val="it-IT"/>
      </w:rPr>
      <w:t xml:space="preserve"> 8 / 4</w:t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rFonts w:cs="Arial"/>
        <w:color w:val="000000"/>
        <w:szCs w:val="20"/>
        <w:lang w:val="it-IT"/>
      </w:rPr>
      <w:t>patrick.ryf@phbern.ch</w:t>
    </w:r>
    <w:r>
      <w:rPr>
        <w:lang w:val="it-IT"/>
      </w:rPr>
      <w:tab/>
    </w:r>
  </w:p>
  <w:p w14:paraId="118974FF" w14:textId="77777777" w:rsidR="00D53CA3" w:rsidRDefault="00D53CA3" w:rsidP="00D53CA3">
    <w:pPr>
      <w:pStyle w:val="Vordruck8No"/>
    </w:pPr>
    <w:r>
      <w:t>CH-3012Bern</w:t>
    </w:r>
    <w:r>
      <w:rPr>
        <w:rFonts w:cs="Arial"/>
        <w:color w:val="000000"/>
        <w:szCs w:val="20"/>
        <w:lang w:val="de-DE"/>
      </w:rPr>
      <w:t xml:space="preserve"> </w:t>
    </w:r>
    <w:r>
      <w:rPr>
        <w:rFonts w:cs="Arial"/>
        <w:color w:val="000000"/>
        <w:szCs w:val="20"/>
        <w:lang w:val="de-DE"/>
      </w:rPr>
      <w:tab/>
    </w:r>
    <w:r>
      <w:rPr>
        <w:rFonts w:cs="Arial"/>
        <w:color w:val="000000"/>
        <w:szCs w:val="20"/>
        <w:lang w:val="de-DE"/>
      </w:rPr>
      <w:tab/>
    </w:r>
  </w:p>
  <w:p w14:paraId="615A2424" w14:textId="7D5ED601" w:rsidR="00D53CA3" w:rsidRPr="002E0202" w:rsidRDefault="00D53CA3" w:rsidP="00D53CA3">
    <w:pPr>
      <w:pStyle w:val="Kopfzeile"/>
      <w:ind w:right="-340"/>
      <w:rPr>
        <w:b/>
        <w:bCs/>
        <w:sz w:val="12"/>
        <w:szCs w:val="12"/>
      </w:rPr>
    </w:pPr>
    <w:r w:rsidRPr="002E0202"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_____________________________________________________________________________________________________________________________________________________________</w:t>
    </w:r>
  </w:p>
  <w:p w14:paraId="6D7EFFAF" w14:textId="77777777" w:rsidR="00D53CA3" w:rsidRDefault="00D53C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074E"/>
    <w:multiLevelType w:val="hybridMultilevel"/>
    <w:tmpl w:val="1F9277FC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8F"/>
    <w:rsid w:val="001D3748"/>
    <w:rsid w:val="00325314"/>
    <w:rsid w:val="00411782"/>
    <w:rsid w:val="00591CF9"/>
    <w:rsid w:val="005C6BAB"/>
    <w:rsid w:val="0062646D"/>
    <w:rsid w:val="008719D5"/>
    <w:rsid w:val="00AF0FC0"/>
    <w:rsid w:val="00BA6EF7"/>
    <w:rsid w:val="00C1488F"/>
    <w:rsid w:val="00CF2F3F"/>
    <w:rsid w:val="00D07F17"/>
    <w:rsid w:val="00D53CA3"/>
    <w:rsid w:val="00DB3466"/>
    <w:rsid w:val="00F4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145C7"/>
  <w15:chartTrackingRefBased/>
  <w15:docId w15:val="{3B81B788-EDE3-4E8D-98B8-A258C8F5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53CA3"/>
  </w:style>
  <w:style w:type="paragraph" w:styleId="Fuzeile">
    <w:name w:val="footer"/>
    <w:basedOn w:val="Standard"/>
    <w:link w:val="FuzeileZchn"/>
    <w:uiPriority w:val="99"/>
    <w:unhideWhenUsed/>
    <w:rsid w:val="00D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CA3"/>
  </w:style>
  <w:style w:type="paragraph" w:customStyle="1" w:styleId="Vordruck8No">
    <w:name w:val="Vordruck8No"/>
    <w:basedOn w:val="Standard"/>
    <w:rsid w:val="00D53CA3"/>
    <w:pPr>
      <w:spacing w:after="0" w:line="190" w:lineRule="atLeast"/>
    </w:pPr>
    <w:rPr>
      <w:rFonts w:ascii="Arial" w:eastAsia="Times New Roman" w:hAnsi="Arial" w:cs="Times New Roman"/>
      <w:sz w:val="16"/>
      <w:szCs w:val="24"/>
      <w:lang w:eastAsia="de-DE"/>
    </w:rPr>
  </w:style>
  <w:style w:type="table" w:styleId="Tabellenraster">
    <w:name w:val="Table Grid"/>
    <w:basedOn w:val="NormaleTabelle"/>
    <w:uiPriority w:val="59"/>
    <w:rsid w:val="00D5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117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7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1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3qcAt3fs9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bLzow6eP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Ryf</dc:creator>
  <cp:keywords/>
  <dc:description/>
  <cp:lastModifiedBy>Patrick Ryf</cp:lastModifiedBy>
  <cp:revision>7</cp:revision>
  <dcterms:created xsi:type="dcterms:W3CDTF">2020-09-22T20:42:00Z</dcterms:created>
  <dcterms:modified xsi:type="dcterms:W3CDTF">2020-09-24T15:41:00Z</dcterms:modified>
</cp:coreProperties>
</file>